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«Башнефть» – это одна из старейших нефтяных компаний России, ее деятельность началась в 1932 года с момента открытия Ишимбайского месторождения. Движущей силой расширения масштабов деятельности «Башнефти» на протяжении всей восьмидесятилетней истории компании было открытие крупнейших месторождений в Республике Башкортостан: Туймазинского, Манчаровского, Арланского, Четырманского, Югомашевского. Соразмерно потребности в освоении новых запасов шел процесс развития нефтеперерабатывающих мощностей: в 1938 г. состоялся ввод в эксплуатацию Уфимского нефтеперерабатывающего завода, в 1951 г. состоялся запуск Ново-Уфимского НПЗ («Новойл»), в 1957 г. – «Уфанефтехима». Строительство Уфимского завода синтетического спирта (Уфаоргсинтез») было завершено в 1956 г.</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13 января 1995 г. учреждено акционерное общество открытого типа. В 2012 году на базе ОАО АНК «Башнефть» была сформирована вертикально интегрированная нефтяная компания федерального масштаба.</w:t>
      </w:r>
    </w:p>
    <w:p w:rsidR="001F477F" w:rsidRPr="001F477F" w:rsidRDefault="001F477F" w:rsidP="001F477F">
      <w:pPr>
        <w:shd w:val="clear" w:color="auto" w:fill="FFFFFF"/>
        <w:spacing w:after="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b/>
          <w:bCs/>
          <w:color w:val="333333"/>
          <w:sz w:val="26"/>
          <w:szCs w:val="26"/>
          <w:lang w:eastAsia="ru-RU"/>
        </w:rPr>
        <w:t>Задание</w:t>
      </w:r>
    </w:p>
    <w:p w:rsidR="001F477F" w:rsidRPr="001F477F" w:rsidRDefault="001F477F" w:rsidP="001F477F">
      <w:pPr>
        <w:numPr>
          <w:ilvl w:val="0"/>
          <w:numId w:val="1"/>
        </w:numPr>
        <w:shd w:val="clear" w:color="auto" w:fill="FFFFFF"/>
        <w:spacing w:after="120" w:line="336" w:lineRule="atLeast"/>
        <w:ind w:left="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В период с 2009 по 2016 год ПАО АНК «Башнефть» пережила немало событий, касающихся ее реструктуризации и формирования ВИНК.</w:t>
      </w:r>
    </w:p>
    <w:p w:rsidR="001F477F" w:rsidRPr="001F477F" w:rsidRDefault="001F477F" w:rsidP="001F477F">
      <w:pPr>
        <w:shd w:val="clear" w:color="auto" w:fill="FFFFFF"/>
        <w:spacing w:before="120" w:after="120" w:line="336" w:lineRule="atLeast"/>
        <w:ind w:left="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Выделите эти важнейшие события согласно таблице 5, используя нижеприведенные исходные данные и информацию с официального сайта компании.</w:t>
      </w:r>
    </w:p>
    <w:tbl>
      <w:tblPr>
        <w:tblW w:w="0" w:type="auto"/>
        <w:tblInd w:w="480" w:type="dxa"/>
        <w:tblCellMar>
          <w:left w:w="0" w:type="dxa"/>
          <w:right w:w="0" w:type="dxa"/>
        </w:tblCellMar>
        <w:tblLook w:val="04A0" w:firstRow="1" w:lastRow="0" w:firstColumn="1" w:lastColumn="0" w:noHBand="0" w:noVBand="1"/>
      </w:tblPr>
      <w:tblGrid>
        <w:gridCol w:w="4247"/>
        <w:gridCol w:w="791"/>
        <w:gridCol w:w="790"/>
        <w:gridCol w:w="489"/>
        <w:gridCol w:w="489"/>
        <w:gridCol w:w="489"/>
        <w:gridCol w:w="790"/>
        <w:gridCol w:w="790"/>
      </w:tblGrid>
      <w:tr w:rsidR="001F477F" w:rsidRPr="001F477F" w:rsidTr="001F477F">
        <w:trPr>
          <w:trHeight w:val="396"/>
        </w:trPr>
        <w:tc>
          <w:tcPr>
            <w:tcW w:w="0" w:type="auto"/>
            <w:gridSpan w:val="8"/>
            <w:vMerge w:val="restart"/>
            <w:tcBorders>
              <w:top w:val="nil"/>
              <w:left w:val="nil"/>
              <w:bottom w:val="nil"/>
              <w:right w:val="nil"/>
            </w:tcBorders>
            <w:shd w:val="clear" w:color="auto" w:fill="EDEDED"/>
            <w:tcMar>
              <w:top w:w="72" w:type="dxa"/>
              <w:left w:w="72" w:type="dxa"/>
              <w:bottom w:w="72" w:type="dxa"/>
              <w:right w:w="72" w:type="dxa"/>
            </w:tcMar>
            <w:vAlign w:val="center"/>
            <w:hideMark/>
          </w:tcPr>
          <w:p w:rsidR="001F477F" w:rsidRPr="001F477F" w:rsidRDefault="001F477F" w:rsidP="001F477F">
            <w:pPr>
              <w:spacing w:after="120" w:line="240" w:lineRule="auto"/>
              <w:rPr>
                <w:rFonts w:ascii="Times New Roman" w:eastAsia="Times New Roman" w:hAnsi="Times New Roman" w:cs="Times New Roman"/>
                <w:color w:val="666666"/>
                <w:sz w:val="24"/>
                <w:szCs w:val="24"/>
                <w:lang w:eastAsia="ru-RU"/>
              </w:rPr>
            </w:pPr>
            <w:r w:rsidRPr="001F477F">
              <w:rPr>
                <w:rFonts w:ascii="Times New Roman" w:eastAsia="Times New Roman" w:hAnsi="Times New Roman" w:cs="Times New Roman"/>
                <w:color w:val="666666"/>
                <w:sz w:val="24"/>
                <w:szCs w:val="24"/>
                <w:lang w:eastAsia="ru-RU"/>
              </w:rPr>
              <w:t>Таблица 5 – Основные события (этапы) в процессе реструктуризации ОАО АНК «Башнефть»</w:t>
            </w:r>
          </w:p>
        </w:tc>
      </w:tr>
      <w:tr w:rsidR="001F477F" w:rsidRPr="001F477F" w:rsidTr="001F477F">
        <w:tc>
          <w:tcPr>
            <w:tcW w:w="0" w:type="auto"/>
            <w:vMerge w:val="restart"/>
            <w:tcBorders>
              <w:top w:val="single" w:sz="6" w:space="0" w:color="CDCDCD"/>
              <w:left w:val="single" w:sz="6" w:space="0" w:color="CDCDCD"/>
              <w:bottom w:val="single" w:sz="6" w:space="0" w:color="CDCDCD"/>
              <w:right w:val="single" w:sz="6" w:space="0" w:color="CDCDCD"/>
            </w:tcBorders>
            <w:shd w:val="clear" w:color="auto" w:fill="EDEDED"/>
            <w:tcMar>
              <w:top w:w="72" w:type="dxa"/>
              <w:left w:w="72" w:type="dxa"/>
              <w:bottom w:w="72" w:type="dxa"/>
              <w:right w:w="72" w:type="dxa"/>
            </w:tcMar>
            <w:vAlign w:val="center"/>
            <w:hideMark/>
          </w:tcPr>
          <w:p w:rsidR="001F477F" w:rsidRPr="001F477F" w:rsidRDefault="001F477F" w:rsidP="001F477F">
            <w:pPr>
              <w:spacing w:after="0" w:line="216" w:lineRule="atLeast"/>
              <w:jc w:val="center"/>
              <w:rPr>
                <w:rFonts w:ascii="Times New Roman" w:eastAsia="Times New Roman" w:hAnsi="Times New Roman" w:cs="Times New Roman"/>
                <w:b/>
                <w:bCs/>
                <w:sz w:val="23"/>
                <w:szCs w:val="23"/>
                <w:lang w:eastAsia="ru-RU"/>
              </w:rPr>
            </w:pPr>
            <w:r w:rsidRPr="001F477F">
              <w:rPr>
                <w:rFonts w:ascii="Times New Roman" w:eastAsia="Times New Roman" w:hAnsi="Times New Roman" w:cs="Times New Roman"/>
                <w:b/>
                <w:bCs/>
                <w:sz w:val="23"/>
                <w:szCs w:val="23"/>
                <w:lang w:eastAsia="ru-RU"/>
              </w:rPr>
              <w:t>Изменение в секторе</w:t>
            </w:r>
          </w:p>
        </w:tc>
        <w:tc>
          <w:tcPr>
            <w:tcW w:w="0" w:type="auto"/>
            <w:gridSpan w:val="7"/>
            <w:tcBorders>
              <w:top w:val="single" w:sz="6" w:space="0" w:color="CDCDCD"/>
              <w:left w:val="single" w:sz="6" w:space="0" w:color="CDCDCD"/>
              <w:bottom w:val="single" w:sz="6" w:space="0" w:color="CDCDCD"/>
              <w:right w:val="single" w:sz="6" w:space="0" w:color="CDCDCD"/>
            </w:tcBorders>
            <w:shd w:val="clear" w:color="auto" w:fill="EDEDED"/>
            <w:tcMar>
              <w:top w:w="72" w:type="dxa"/>
              <w:left w:w="72" w:type="dxa"/>
              <w:bottom w:w="72" w:type="dxa"/>
              <w:right w:w="72" w:type="dxa"/>
            </w:tcMar>
            <w:vAlign w:val="center"/>
            <w:hideMark/>
          </w:tcPr>
          <w:p w:rsidR="001F477F" w:rsidRPr="001F477F" w:rsidRDefault="001F477F" w:rsidP="001F477F">
            <w:pPr>
              <w:spacing w:after="0" w:line="216" w:lineRule="atLeast"/>
              <w:jc w:val="center"/>
              <w:rPr>
                <w:rFonts w:ascii="Times New Roman" w:eastAsia="Times New Roman" w:hAnsi="Times New Roman" w:cs="Times New Roman"/>
                <w:b/>
                <w:bCs/>
                <w:sz w:val="23"/>
                <w:szCs w:val="23"/>
                <w:lang w:eastAsia="ru-RU"/>
              </w:rPr>
            </w:pPr>
            <w:r w:rsidRPr="001F477F">
              <w:rPr>
                <w:rFonts w:ascii="Times New Roman" w:eastAsia="Times New Roman" w:hAnsi="Times New Roman" w:cs="Times New Roman"/>
                <w:b/>
                <w:bCs/>
                <w:sz w:val="23"/>
                <w:szCs w:val="23"/>
                <w:lang w:eastAsia="ru-RU"/>
              </w:rPr>
              <w:t>Год</w:t>
            </w:r>
          </w:p>
        </w:tc>
      </w:tr>
      <w:tr w:rsidR="001F477F" w:rsidRPr="001F477F" w:rsidTr="001F477F">
        <w:tc>
          <w:tcPr>
            <w:tcW w:w="0" w:type="auto"/>
            <w:vMerge/>
            <w:tcBorders>
              <w:top w:val="single" w:sz="6" w:space="0" w:color="CDCDCD"/>
              <w:left w:val="single" w:sz="6" w:space="0" w:color="CDCDCD"/>
              <w:bottom w:val="single" w:sz="6" w:space="0" w:color="CDCDCD"/>
              <w:right w:val="single" w:sz="6" w:space="0" w:color="CDCDCD"/>
            </w:tcBorders>
            <w:vAlign w:val="center"/>
            <w:hideMark/>
          </w:tcPr>
          <w:p w:rsidR="001F477F" w:rsidRPr="001F477F" w:rsidRDefault="001F477F" w:rsidP="001F477F">
            <w:pPr>
              <w:spacing w:after="0" w:line="240" w:lineRule="auto"/>
              <w:rPr>
                <w:rFonts w:ascii="Times New Roman" w:eastAsia="Times New Roman" w:hAnsi="Times New Roman" w:cs="Times New Roman"/>
                <w:b/>
                <w:bCs/>
                <w:sz w:val="23"/>
                <w:szCs w:val="23"/>
                <w:lang w:eastAsia="ru-RU"/>
              </w:rPr>
            </w:pPr>
          </w:p>
        </w:tc>
        <w:tc>
          <w:tcPr>
            <w:tcW w:w="0" w:type="auto"/>
            <w:tcBorders>
              <w:top w:val="single" w:sz="6" w:space="0" w:color="CDCDCD"/>
              <w:left w:val="single" w:sz="6" w:space="0" w:color="CDCDCD"/>
              <w:bottom w:val="single" w:sz="6" w:space="0" w:color="CDCDCD"/>
              <w:right w:val="single" w:sz="6" w:space="0" w:color="CDCDCD"/>
            </w:tcBorders>
            <w:shd w:val="clear" w:color="auto" w:fill="EDEDED"/>
            <w:tcMar>
              <w:top w:w="72" w:type="dxa"/>
              <w:left w:w="72" w:type="dxa"/>
              <w:bottom w:w="72" w:type="dxa"/>
              <w:right w:w="72" w:type="dxa"/>
            </w:tcMar>
            <w:vAlign w:val="center"/>
            <w:hideMark/>
          </w:tcPr>
          <w:p w:rsidR="001F477F" w:rsidRPr="001F477F" w:rsidRDefault="001F477F" w:rsidP="001F477F">
            <w:pPr>
              <w:spacing w:after="0" w:line="216" w:lineRule="atLeast"/>
              <w:jc w:val="center"/>
              <w:rPr>
                <w:rFonts w:ascii="Times New Roman" w:eastAsia="Times New Roman" w:hAnsi="Times New Roman" w:cs="Times New Roman"/>
                <w:b/>
                <w:bCs/>
                <w:sz w:val="23"/>
                <w:szCs w:val="23"/>
                <w:lang w:eastAsia="ru-RU"/>
              </w:rPr>
            </w:pPr>
            <w:r w:rsidRPr="001F477F">
              <w:rPr>
                <w:rFonts w:ascii="Times New Roman" w:eastAsia="Times New Roman" w:hAnsi="Times New Roman" w:cs="Times New Roman"/>
                <w:b/>
                <w:bCs/>
                <w:sz w:val="23"/>
                <w:szCs w:val="23"/>
                <w:lang w:eastAsia="ru-RU"/>
              </w:rPr>
              <w:t>2009</w:t>
            </w:r>
          </w:p>
        </w:tc>
        <w:tc>
          <w:tcPr>
            <w:tcW w:w="0" w:type="auto"/>
            <w:tcBorders>
              <w:top w:val="single" w:sz="6" w:space="0" w:color="CDCDCD"/>
              <w:left w:val="single" w:sz="6" w:space="0" w:color="CDCDCD"/>
              <w:bottom w:val="single" w:sz="6" w:space="0" w:color="CDCDCD"/>
              <w:right w:val="single" w:sz="6" w:space="0" w:color="CDCDCD"/>
            </w:tcBorders>
            <w:shd w:val="clear" w:color="auto" w:fill="EDEDED"/>
            <w:tcMar>
              <w:top w:w="72" w:type="dxa"/>
              <w:left w:w="72" w:type="dxa"/>
              <w:bottom w:w="72" w:type="dxa"/>
              <w:right w:w="72" w:type="dxa"/>
            </w:tcMar>
            <w:vAlign w:val="center"/>
            <w:hideMark/>
          </w:tcPr>
          <w:p w:rsidR="001F477F" w:rsidRPr="001F477F" w:rsidRDefault="001F477F" w:rsidP="001F477F">
            <w:pPr>
              <w:spacing w:after="0" w:line="216" w:lineRule="atLeast"/>
              <w:jc w:val="center"/>
              <w:rPr>
                <w:rFonts w:ascii="Times New Roman" w:eastAsia="Times New Roman" w:hAnsi="Times New Roman" w:cs="Times New Roman"/>
                <w:b/>
                <w:bCs/>
                <w:sz w:val="23"/>
                <w:szCs w:val="23"/>
                <w:lang w:eastAsia="ru-RU"/>
              </w:rPr>
            </w:pPr>
            <w:r w:rsidRPr="001F477F">
              <w:rPr>
                <w:rFonts w:ascii="Times New Roman" w:eastAsia="Times New Roman" w:hAnsi="Times New Roman" w:cs="Times New Roman"/>
                <w:b/>
                <w:bCs/>
                <w:sz w:val="23"/>
                <w:szCs w:val="23"/>
                <w:lang w:eastAsia="ru-RU"/>
              </w:rPr>
              <w:t>2010</w:t>
            </w:r>
          </w:p>
        </w:tc>
        <w:tc>
          <w:tcPr>
            <w:tcW w:w="0" w:type="auto"/>
            <w:tcBorders>
              <w:top w:val="single" w:sz="6" w:space="0" w:color="CDCDCD"/>
              <w:left w:val="single" w:sz="6" w:space="0" w:color="CDCDCD"/>
              <w:bottom w:val="single" w:sz="6" w:space="0" w:color="CDCDCD"/>
              <w:right w:val="single" w:sz="6" w:space="0" w:color="CDCDCD"/>
            </w:tcBorders>
            <w:shd w:val="clear" w:color="auto" w:fill="EDEDED"/>
            <w:tcMar>
              <w:top w:w="72" w:type="dxa"/>
              <w:left w:w="72" w:type="dxa"/>
              <w:bottom w:w="72" w:type="dxa"/>
              <w:right w:w="72" w:type="dxa"/>
            </w:tcMar>
            <w:vAlign w:val="center"/>
            <w:hideMark/>
          </w:tcPr>
          <w:p w:rsidR="001F477F" w:rsidRPr="001F477F" w:rsidRDefault="001F477F" w:rsidP="001F477F">
            <w:pPr>
              <w:spacing w:after="0" w:line="216" w:lineRule="atLeast"/>
              <w:jc w:val="center"/>
              <w:rPr>
                <w:rFonts w:ascii="Times New Roman" w:eastAsia="Times New Roman" w:hAnsi="Times New Roman" w:cs="Times New Roman"/>
                <w:b/>
                <w:bCs/>
                <w:sz w:val="23"/>
                <w:szCs w:val="23"/>
                <w:lang w:eastAsia="ru-RU"/>
              </w:rPr>
            </w:pPr>
            <w:r w:rsidRPr="001F477F">
              <w:rPr>
                <w:rFonts w:ascii="Times New Roman" w:eastAsia="Times New Roman" w:hAnsi="Times New Roman" w:cs="Times New Roman"/>
                <w:b/>
                <w:bCs/>
                <w:sz w:val="23"/>
                <w:szCs w:val="23"/>
                <w:lang w:eastAsia="ru-RU"/>
              </w:rPr>
              <w:t>…</w:t>
            </w:r>
          </w:p>
        </w:tc>
        <w:tc>
          <w:tcPr>
            <w:tcW w:w="0" w:type="auto"/>
            <w:tcBorders>
              <w:top w:val="single" w:sz="6" w:space="0" w:color="CDCDCD"/>
              <w:left w:val="single" w:sz="6" w:space="0" w:color="CDCDCD"/>
              <w:bottom w:val="single" w:sz="6" w:space="0" w:color="CDCDCD"/>
              <w:right w:val="single" w:sz="6" w:space="0" w:color="CDCDCD"/>
            </w:tcBorders>
            <w:shd w:val="clear" w:color="auto" w:fill="EDEDED"/>
            <w:tcMar>
              <w:top w:w="72" w:type="dxa"/>
              <w:left w:w="72" w:type="dxa"/>
              <w:bottom w:w="72" w:type="dxa"/>
              <w:right w:w="72" w:type="dxa"/>
            </w:tcMar>
            <w:vAlign w:val="center"/>
            <w:hideMark/>
          </w:tcPr>
          <w:p w:rsidR="001F477F" w:rsidRPr="001F477F" w:rsidRDefault="001F477F" w:rsidP="001F477F">
            <w:pPr>
              <w:spacing w:after="0" w:line="216" w:lineRule="atLeast"/>
              <w:jc w:val="center"/>
              <w:rPr>
                <w:rFonts w:ascii="Times New Roman" w:eastAsia="Times New Roman" w:hAnsi="Times New Roman" w:cs="Times New Roman"/>
                <w:b/>
                <w:bCs/>
                <w:sz w:val="23"/>
                <w:szCs w:val="23"/>
                <w:lang w:eastAsia="ru-RU"/>
              </w:rPr>
            </w:pPr>
            <w:r w:rsidRPr="001F477F">
              <w:rPr>
                <w:rFonts w:ascii="Times New Roman" w:eastAsia="Times New Roman" w:hAnsi="Times New Roman" w:cs="Times New Roman"/>
                <w:b/>
                <w:bCs/>
                <w:sz w:val="23"/>
                <w:szCs w:val="23"/>
                <w:lang w:eastAsia="ru-RU"/>
              </w:rPr>
              <w:t>…</w:t>
            </w:r>
          </w:p>
        </w:tc>
        <w:tc>
          <w:tcPr>
            <w:tcW w:w="0" w:type="auto"/>
            <w:tcBorders>
              <w:top w:val="single" w:sz="6" w:space="0" w:color="CDCDCD"/>
              <w:left w:val="single" w:sz="6" w:space="0" w:color="CDCDCD"/>
              <w:bottom w:val="single" w:sz="6" w:space="0" w:color="CDCDCD"/>
              <w:right w:val="single" w:sz="6" w:space="0" w:color="CDCDCD"/>
            </w:tcBorders>
            <w:shd w:val="clear" w:color="auto" w:fill="EDEDED"/>
            <w:tcMar>
              <w:top w:w="72" w:type="dxa"/>
              <w:left w:w="72" w:type="dxa"/>
              <w:bottom w:w="72" w:type="dxa"/>
              <w:right w:w="72" w:type="dxa"/>
            </w:tcMar>
            <w:vAlign w:val="center"/>
            <w:hideMark/>
          </w:tcPr>
          <w:p w:rsidR="001F477F" w:rsidRPr="001F477F" w:rsidRDefault="001F477F" w:rsidP="001F477F">
            <w:pPr>
              <w:spacing w:after="0" w:line="216" w:lineRule="atLeast"/>
              <w:jc w:val="center"/>
              <w:rPr>
                <w:rFonts w:ascii="Times New Roman" w:eastAsia="Times New Roman" w:hAnsi="Times New Roman" w:cs="Times New Roman"/>
                <w:b/>
                <w:bCs/>
                <w:sz w:val="23"/>
                <w:szCs w:val="23"/>
                <w:lang w:eastAsia="ru-RU"/>
              </w:rPr>
            </w:pPr>
            <w:r w:rsidRPr="001F477F">
              <w:rPr>
                <w:rFonts w:ascii="Times New Roman" w:eastAsia="Times New Roman" w:hAnsi="Times New Roman" w:cs="Times New Roman"/>
                <w:b/>
                <w:bCs/>
                <w:sz w:val="23"/>
                <w:szCs w:val="23"/>
                <w:lang w:eastAsia="ru-RU"/>
              </w:rPr>
              <w:t>…</w:t>
            </w:r>
          </w:p>
        </w:tc>
        <w:tc>
          <w:tcPr>
            <w:tcW w:w="0" w:type="auto"/>
            <w:tcBorders>
              <w:top w:val="single" w:sz="6" w:space="0" w:color="CDCDCD"/>
              <w:left w:val="single" w:sz="6" w:space="0" w:color="CDCDCD"/>
              <w:bottom w:val="single" w:sz="6" w:space="0" w:color="CDCDCD"/>
              <w:right w:val="single" w:sz="6" w:space="0" w:color="CDCDCD"/>
            </w:tcBorders>
            <w:shd w:val="clear" w:color="auto" w:fill="EDEDED"/>
            <w:tcMar>
              <w:top w:w="72" w:type="dxa"/>
              <w:left w:w="72" w:type="dxa"/>
              <w:bottom w:w="72" w:type="dxa"/>
              <w:right w:w="72" w:type="dxa"/>
            </w:tcMar>
            <w:vAlign w:val="center"/>
            <w:hideMark/>
          </w:tcPr>
          <w:p w:rsidR="001F477F" w:rsidRPr="001F477F" w:rsidRDefault="001F477F" w:rsidP="001F477F">
            <w:pPr>
              <w:spacing w:after="0" w:line="216" w:lineRule="atLeast"/>
              <w:jc w:val="center"/>
              <w:rPr>
                <w:rFonts w:ascii="Times New Roman" w:eastAsia="Times New Roman" w:hAnsi="Times New Roman" w:cs="Times New Roman"/>
                <w:b/>
                <w:bCs/>
                <w:sz w:val="23"/>
                <w:szCs w:val="23"/>
                <w:lang w:eastAsia="ru-RU"/>
              </w:rPr>
            </w:pPr>
            <w:r w:rsidRPr="001F477F">
              <w:rPr>
                <w:rFonts w:ascii="Times New Roman" w:eastAsia="Times New Roman" w:hAnsi="Times New Roman" w:cs="Times New Roman"/>
                <w:b/>
                <w:bCs/>
                <w:sz w:val="23"/>
                <w:szCs w:val="23"/>
                <w:lang w:eastAsia="ru-RU"/>
              </w:rPr>
              <w:t>2015</w:t>
            </w:r>
          </w:p>
        </w:tc>
        <w:tc>
          <w:tcPr>
            <w:tcW w:w="0" w:type="auto"/>
            <w:tcBorders>
              <w:top w:val="single" w:sz="6" w:space="0" w:color="CDCDCD"/>
              <w:left w:val="single" w:sz="6" w:space="0" w:color="CDCDCD"/>
              <w:bottom w:val="single" w:sz="6" w:space="0" w:color="CDCDCD"/>
              <w:right w:val="single" w:sz="6" w:space="0" w:color="CDCDCD"/>
            </w:tcBorders>
            <w:shd w:val="clear" w:color="auto" w:fill="EDEDED"/>
            <w:tcMar>
              <w:top w:w="72" w:type="dxa"/>
              <w:left w:w="72" w:type="dxa"/>
              <w:bottom w:w="72" w:type="dxa"/>
              <w:right w:w="72" w:type="dxa"/>
            </w:tcMar>
            <w:vAlign w:val="center"/>
            <w:hideMark/>
          </w:tcPr>
          <w:p w:rsidR="001F477F" w:rsidRPr="001F477F" w:rsidRDefault="001F477F" w:rsidP="001F477F">
            <w:pPr>
              <w:spacing w:after="0" w:line="216" w:lineRule="atLeast"/>
              <w:jc w:val="center"/>
              <w:rPr>
                <w:rFonts w:ascii="Times New Roman" w:eastAsia="Times New Roman" w:hAnsi="Times New Roman" w:cs="Times New Roman"/>
                <w:b/>
                <w:bCs/>
                <w:sz w:val="23"/>
                <w:szCs w:val="23"/>
                <w:lang w:eastAsia="ru-RU"/>
              </w:rPr>
            </w:pPr>
            <w:r w:rsidRPr="001F477F">
              <w:rPr>
                <w:rFonts w:ascii="Times New Roman" w:eastAsia="Times New Roman" w:hAnsi="Times New Roman" w:cs="Times New Roman"/>
                <w:b/>
                <w:bCs/>
                <w:sz w:val="23"/>
                <w:szCs w:val="23"/>
                <w:lang w:eastAsia="ru-RU"/>
              </w:rPr>
              <w:t>2016</w:t>
            </w:r>
          </w:p>
        </w:tc>
      </w:tr>
      <w:tr w:rsidR="001F477F" w:rsidRPr="001F477F" w:rsidTr="001F477F">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Геология, геофизика</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r>
      <w:tr w:rsidR="001F477F" w:rsidRPr="001F477F" w:rsidTr="001F477F">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Разведка</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r>
      <w:tr w:rsidR="001F477F" w:rsidRPr="001F477F" w:rsidTr="001F477F">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Бурение и строительство скважин</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r>
      <w:tr w:rsidR="001F477F" w:rsidRPr="001F477F" w:rsidTr="001F477F">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Добыча нефти и газа</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r>
      <w:tr w:rsidR="001F477F" w:rsidRPr="001F477F" w:rsidTr="001F477F">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Транспортировка нефти и газа</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r>
      <w:tr w:rsidR="001F477F" w:rsidRPr="001F477F" w:rsidTr="001F477F">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Нефтепереработка</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r>
      <w:tr w:rsidR="001F477F" w:rsidRPr="001F477F" w:rsidTr="001F477F">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Реализация нефтепродуктов</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r>
      <w:tr w:rsidR="001F477F" w:rsidRPr="001F477F" w:rsidTr="001F477F">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Прочее</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477F" w:rsidRPr="001F477F" w:rsidRDefault="001F477F" w:rsidP="001F477F">
            <w:pPr>
              <w:spacing w:after="0" w:line="216" w:lineRule="atLeast"/>
              <w:rPr>
                <w:rFonts w:ascii="Times New Roman" w:eastAsia="Times New Roman" w:hAnsi="Times New Roman" w:cs="Times New Roman"/>
                <w:sz w:val="20"/>
                <w:szCs w:val="20"/>
                <w:lang w:eastAsia="ru-RU"/>
              </w:rPr>
            </w:pPr>
          </w:p>
        </w:tc>
      </w:tr>
    </w:tbl>
    <w:p w:rsidR="001F477F" w:rsidRPr="001F477F" w:rsidRDefault="001F477F" w:rsidP="001F477F">
      <w:pPr>
        <w:numPr>
          <w:ilvl w:val="0"/>
          <w:numId w:val="1"/>
        </w:numPr>
        <w:shd w:val="clear" w:color="auto" w:fill="FFFFFF"/>
        <w:spacing w:after="120" w:line="336" w:lineRule="atLeast"/>
        <w:ind w:left="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 xml:space="preserve">В научно-методической литературе выделяют четыре основных подхода для оценки эффективности реструктуризации предприятий (таблица 6). Проиллюстрируйте практическое использование каждого из указанных методов на примере реструктуризации компании ПАО АНК «Башнефть», </w:t>
      </w:r>
      <w:r w:rsidRPr="001F477F">
        <w:rPr>
          <w:rFonts w:ascii="Arial" w:eastAsia="Times New Roman" w:hAnsi="Arial" w:cs="Arial"/>
          <w:color w:val="333333"/>
          <w:sz w:val="26"/>
          <w:szCs w:val="26"/>
          <w:lang w:eastAsia="ru-RU"/>
        </w:rPr>
        <w:lastRenderedPageBreak/>
        <w:t>используя исходные данные и также материалы Интернета, раскрывающие деятельность компании за последние годы.</w:t>
      </w:r>
    </w:p>
    <w:tbl>
      <w:tblPr>
        <w:tblW w:w="0" w:type="auto"/>
        <w:tblInd w:w="480" w:type="dxa"/>
        <w:tblCellMar>
          <w:left w:w="0" w:type="dxa"/>
          <w:right w:w="0" w:type="dxa"/>
        </w:tblCellMar>
        <w:tblLook w:val="04A0" w:firstRow="1" w:lastRow="0" w:firstColumn="1" w:lastColumn="0" w:noHBand="0" w:noVBand="1"/>
      </w:tblPr>
      <w:tblGrid>
        <w:gridCol w:w="1802"/>
        <w:gridCol w:w="1278"/>
        <w:gridCol w:w="1957"/>
        <w:gridCol w:w="1977"/>
        <w:gridCol w:w="1861"/>
      </w:tblGrid>
      <w:tr w:rsidR="001F477F" w:rsidRPr="001F477F" w:rsidTr="001F477F">
        <w:tc>
          <w:tcPr>
            <w:tcW w:w="0" w:type="auto"/>
            <w:gridSpan w:val="5"/>
            <w:tcBorders>
              <w:top w:val="nil"/>
              <w:left w:val="nil"/>
              <w:bottom w:val="nil"/>
              <w:right w:val="nil"/>
            </w:tcBorders>
            <w:shd w:val="clear" w:color="auto" w:fill="EDEDED"/>
            <w:tcMar>
              <w:top w:w="72" w:type="dxa"/>
              <w:left w:w="72" w:type="dxa"/>
              <w:bottom w:w="72" w:type="dxa"/>
              <w:right w:w="72" w:type="dxa"/>
            </w:tcMar>
            <w:vAlign w:val="center"/>
            <w:hideMark/>
          </w:tcPr>
          <w:p w:rsidR="001F477F" w:rsidRPr="001F477F" w:rsidRDefault="001F477F" w:rsidP="001F477F">
            <w:pPr>
              <w:spacing w:after="120" w:line="240" w:lineRule="auto"/>
              <w:rPr>
                <w:rFonts w:ascii="Times New Roman" w:eastAsia="Times New Roman" w:hAnsi="Times New Roman" w:cs="Times New Roman"/>
                <w:color w:val="666666"/>
                <w:sz w:val="24"/>
                <w:szCs w:val="24"/>
                <w:lang w:eastAsia="ru-RU"/>
              </w:rPr>
            </w:pPr>
            <w:r w:rsidRPr="001F477F">
              <w:rPr>
                <w:rFonts w:ascii="Times New Roman" w:eastAsia="Times New Roman" w:hAnsi="Times New Roman" w:cs="Times New Roman"/>
                <w:color w:val="666666"/>
                <w:sz w:val="24"/>
                <w:szCs w:val="24"/>
                <w:lang w:eastAsia="ru-RU"/>
              </w:rPr>
              <w:t>Таблица 6 – Преимущества и недостатки подходов для оценки эффективности реструктуризации</w:t>
            </w:r>
          </w:p>
        </w:tc>
      </w:tr>
      <w:tr w:rsidR="001F477F" w:rsidRPr="001F477F" w:rsidTr="001F477F">
        <w:tc>
          <w:tcPr>
            <w:tcW w:w="0" w:type="auto"/>
            <w:gridSpan w:val="2"/>
            <w:tcBorders>
              <w:top w:val="single" w:sz="6" w:space="0" w:color="CDCDCD"/>
              <w:left w:val="single" w:sz="6" w:space="0" w:color="CDCDCD"/>
              <w:bottom w:val="single" w:sz="6" w:space="0" w:color="CDCDCD"/>
              <w:right w:val="single" w:sz="6" w:space="0" w:color="CDCDCD"/>
            </w:tcBorders>
            <w:shd w:val="clear" w:color="auto" w:fill="EDEDED"/>
            <w:tcMar>
              <w:top w:w="72" w:type="dxa"/>
              <w:left w:w="72" w:type="dxa"/>
              <w:bottom w:w="72" w:type="dxa"/>
              <w:right w:w="72" w:type="dxa"/>
            </w:tcMar>
            <w:vAlign w:val="center"/>
            <w:hideMark/>
          </w:tcPr>
          <w:p w:rsidR="001F477F" w:rsidRPr="001F477F" w:rsidRDefault="001F477F" w:rsidP="001F477F">
            <w:pPr>
              <w:spacing w:after="0" w:line="216" w:lineRule="atLeast"/>
              <w:jc w:val="center"/>
              <w:rPr>
                <w:rFonts w:ascii="Times New Roman" w:eastAsia="Times New Roman" w:hAnsi="Times New Roman" w:cs="Times New Roman"/>
                <w:b/>
                <w:bCs/>
                <w:sz w:val="23"/>
                <w:szCs w:val="23"/>
                <w:lang w:eastAsia="ru-RU"/>
              </w:rPr>
            </w:pPr>
            <w:r w:rsidRPr="001F477F">
              <w:rPr>
                <w:rFonts w:ascii="Times New Roman" w:eastAsia="Times New Roman" w:hAnsi="Times New Roman" w:cs="Times New Roman"/>
                <w:b/>
                <w:bCs/>
                <w:sz w:val="23"/>
                <w:szCs w:val="23"/>
                <w:lang w:eastAsia="ru-RU"/>
              </w:rPr>
              <w:t>Подход</w:t>
            </w:r>
          </w:p>
        </w:tc>
        <w:tc>
          <w:tcPr>
            <w:tcW w:w="0" w:type="auto"/>
            <w:tcBorders>
              <w:top w:val="single" w:sz="6" w:space="0" w:color="CDCDCD"/>
              <w:left w:val="single" w:sz="6" w:space="0" w:color="CDCDCD"/>
              <w:bottom w:val="single" w:sz="6" w:space="0" w:color="CDCDCD"/>
              <w:right w:val="single" w:sz="6" w:space="0" w:color="CDCDCD"/>
            </w:tcBorders>
            <w:shd w:val="clear" w:color="auto" w:fill="EDEDED"/>
            <w:tcMar>
              <w:top w:w="72" w:type="dxa"/>
              <w:left w:w="72" w:type="dxa"/>
              <w:bottom w:w="72" w:type="dxa"/>
              <w:right w:w="72" w:type="dxa"/>
            </w:tcMar>
            <w:vAlign w:val="center"/>
            <w:hideMark/>
          </w:tcPr>
          <w:p w:rsidR="001F477F" w:rsidRPr="001F477F" w:rsidRDefault="001F477F" w:rsidP="001F477F">
            <w:pPr>
              <w:spacing w:after="0" w:line="216" w:lineRule="atLeast"/>
              <w:jc w:val="center"/>
              <w:rPr>
                <w:rFonts w:ascii="Times New Roman" w:eastAsia="Times New Roman" w:hAnsi="Times New Roman" w:cs="Times New Roman"/>
                <w:b/>
                <w:bCs/>
                <w:sz w:val="23"/>
                <w:szCs w:val="23"/>
                <w:lang w:eastAsia="ru-RU"/>
              </w:rPr>
            </w:pPr>
            <w:r w:rsidRPr="001F477F">
              <w:rPr>
                <w:rFonts w:ascii="Times New Roman" w:eastAsia="Times New Roman" w:hAnsi="Times New Roman" w:cs="Times New Roman"/>
                <w:b/>
                <w:bCs/>
                <w:sz w:val="23"/>
                <w:szCs w:val="23"/>
                <w:lang w:eastAsia="ru-RU"/>
              </w:rPr>
              <w:t>Критерии (условия) эффективности реструктуризации</w:t>
            </w:r>
          </w:p>
        </w:tc>
        <w:tc>
          <w:tcPr>
            <w:tcW w:w="0" w:type="auto"/>
            <w:tcBorders>
              <w:top w:val="single" w:sz="6" w:space="0" w:color="CDCDCD"/>
              <w:left w:val="single" w:sz="6" w:space="0" w:color="CDCDCD"/>
              <w:bottom w:val="single" w:sz="6" w:space="0" w:color="CDCDCD"/>
              <w:right w:val="single" w:sz="6" w:space="0" w:color="CDCDCD"/>
            </w:tcBorders>
            <w:shd w:val="clear" w:color="auto" w:fill="EDEDED"/>
            <w:tcMar>
              <w:top w:w="72" w:type="dxa"/>
              <w:left w:w="72" w:type="dxa"/>
              <w:bottom w:w="72" w:type="dxa"/>
              <w:right w:w="72" w:type="dxa"/>
            </w:tcMar>
            <w:vAlign w:val="center"/>
            <w:hideMark/>
          </w:tcPr>
          <w:p w:rsidR="001F477F" w:rsidRPr="001F477F" w:rsidRDefault="001F477F" w:rsidP="001F477F">
            <w:pPr>
              <w:spacing w:after="0" w:line="216" w:lineRule="atLeast"/>
              <w:jc w:val="center"/>
              <w:rPr>
                <w:rFonts w:ascii="Times New Roman" w:eastAsia="Times New Roman" w:hAnsi="Times New Roman" w:cs="Times New Roman"/>
                <w:b/>
                <w:bCs/>
                <w:sz w:val="23"/>
                <w:szCs w:val="23"/>
                <w:lang w:eastAsia="ru-RU"/>
              </w:rPr>
            </w:pPr>
            <w:r w:rsidRPr="001F477F">
              <w:rPr>
                <w:rFonts w:ascii="Times New Roman" w:eastAsia="Times New Roman" w:hAnsi="Times New Roman" w:cs="Times New Roman"/>
                <w:b/>
                <w:bCs/>
                <w:sz w:val="23"/>
                <w:szCs w:val="23"/>
                <w:lang w:eastAsia="ru-RU"/>
              </w:rPr>
              <w:t>Преимущества</w:t>
            </w:r>
          </w:p>
        </w:tc>
        <w:tc>
          <w:tcPr>
            <w:tcW w:w="0" w:type="auto"/>
            <w:tcBorders>
              <w:top w:val="single" w:sz="6" w:space="0" w:color="CDCDCD"/>
              <w:left w:val="single" w:sz="6" w:space="0" w:color="CDCDCD"/>
              <w:bottom w:val="single" w:sz="6" w:space="0" w:color="CDCDCD"/>
              <w:right w:val="single" w:sz="6" w:space="0" w:color="CDCDCD"/>
            </w:tcBorders>
            <w:shd w:val="clear" w:color="auto" w:fill="EDEDED"/>
            <w:tcMar>
              <w:top w:w="72" w:type="dxa"/>
              <w:left w:w="72" w:type="dxa"/>
              <w:bottom w:w="72" w:type="dxa"/>
              <w:right w:w="72" w:type="dxa"/>
            </w:tcMar>
            <w:vAlign w:val="center"/>
            <w:hideMark/>
          </w:tcPr>
          <w:p w:rsidR="001F477F" w:rsidRPr="001F477F" w:rsidRDefault="001F477F" w:rsidP="001F477F">
            <w:pPr>
              <w:spacing w:after="0" w:line="216" w:lineRule="atLeast"/>
              <w:jc w:val="center"/>
              <w:rPr>
                <w:rFonts w:ascii="Times New Roman" w:eastAsia="Times New Roman" w:hAnsi="Times New Roman" w:cs="Times New Roman"/>
                <w:b/>
                <w:bCs/>
                <w:sz w:val="23"/>
                <w:szCs w:val="23"/>
                <w:lang w:eastAsia="ru-RU"/>
              </w:rPr>
            </w:pPr>
            <w:r w:rsidRPr="001F477F">
              <w:rPr>
                <w:rFonts w:ascii="Times New Roman" w:eastAsia="Times New Roman" w:hAnsi="Times New Roman" w:cs="Times New Roman"/>
                <w:b/>
                <w:bCs/>
                <w:sz w:val="23"/>
                <w:szCs w:val="23"/>
                <w:lang w:eastAsia="ru-RU"/>
              </w:rPr>
              <w:t>Недостатки</w:t>
            </w:r>
          </w:p>
        </w:tc>
      </w:tr>
      <w:tr w:rsidR="001F477F" w:rsidRPr="001F477F" w:rsidTr="001F477F">
        <w:tc>
          <w:tcPr>
            <w:tcW w:w="0" w:type="auto"/>
            <w:gridSpan w:val="2"/>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Анализ финансово-хозяйственной деятельности до и после реструктуризации на основе финансовых коэффициентов</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Доведение значений коэффициентов до нормативных, либо рост показателей в динамике после реструктуризации</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1) дает многостороннюю информацию о финансовом состоянии предприятия;</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2) систематизирует информацию для потенциальных инвесторов о целесообразности вложения средств;</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3) простота расчета.</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1) не отражает эффективности использования нематериальных ресурсов;</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2) дает лишь поверхностную оценку эффективности реструктуризации предприятия;</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3) использование для анализа лишь бухгалтерской отчетности сужает круг вопросов связанных с эффективностью реструктуризации.</w:t>
            </w:r>
          </w:p>
        </w:tc>
      </w:tr>
      <w:tr w:rsidR="001F477F" w:rsidRPr="001F477F" w:rsidTr="001F477F">
        <w:tc>
          <w:tcPr>
            <w:tcW w:w="0" w:type="auto"/>
            <w:vMerge w:val="restart"/>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Оценка стоимости организации до и после реструктуризации</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Затратный подход</w:t>
            </w:r>
          </w:p>
        </w:tc>
        <w:tc>
          <w:tcPr>
            <w:tcW w:w="0" w:type="auto"/>
            <w:vMerge w:val="restart"/>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Рост стоимости организации после реструктуризации</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1) учитывает влияние производственно-хозяйственных факторов на изменение стоимости активов;</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2) оценивает уровень развития технологии с учетом степени износа активов;</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 xml:space="preserve">3) расчеты опираются на финансовые и </w:t>
            </w:r>
            <w:r w:rsidRPr="001F477F">
              <w:rPr>
                <w:rFonts w:ascii="Times New Roman" w:eastAsia="Times New Roman" w:hAnsi="Times New Roman" w:cs="Times New Roman"/>
                <w:sz w:val="23"/>
                <w:szCs w:val="23"/>
                <w:lang w:eastAsia="ru-RU"/>
              </w:rPr>
              <w:lastRenderedPageBreak/>
              <w:t>учетные документы, т.е. результаты оценки более обоснованы.</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lastRenderedPageBreak/>
              <w:t>1) отражает прошлую стоимость;</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2) не учитывает рыночную ситуацию на дату оценки;</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3) не учитывает риски;</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4) отсутствуют связи с будущими выгодами от проведения реструктуризаци</w:t>
            </w:r>
            <w:r w:rsidRPr="001F477F">
              <w:rPr>
                <w:rFonts w:ascii="Times New Roman" w:eastAsia="Times New Roman" w:hAnsi="Times New Roman" w:cs="Times New Roman"/>
                <w:sz w:val="23"/>
                <w:szCs w:val="23"/>
                <w:lang w:eastAsia="ru-RU"/>
              </w:rPr>
              <w:lastRenderedPageBreak/>
              <w:t>и предприятия;</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5) может многократно завысить стоимость.</w:t>
            </w:r>
          </w:p>
        </w:tc>
      </w:tr>
      <w:tr w:rsidR="001F477F" w:rsidRPr="001F477F" w:rsidTr="001F477F">
        <w:tc>
          <w:tcPr>
            <w:tcW w:w="0" w:type="auto"/>
            <w:vMerge/>
            <w:tcBorders>
              <w:top w:val="single" w:sz="6" w:space="0" w:color="CDCDCD"/>
              <w:left w:val="single" w:sz="6" w:space="0" w:color="CDCDCD"/>
              <w:bottom w:val="single" w:sz="6" w:space="0" w:color="CDCDCD"/>
              <w:right w:val="single" w:sz="6" w:space="0" w:color="CDCDCD"/>
            </w:tcBorders>
            <w:vAlign w:val="center"/>
            <w:hideMark/>
          </w:tcPr>
          <w:p w:rsidR="001F477F" w:rsidRPr="001F477F" w:rsidRDefault="001F477F" w:rsidP="001F477F">
            <w:pPr>
              <w:spacing w:after="0" w:line="240" w:lineRule="auto"/>
              <w:rPr>
                <w:rFonts w:ascii="Times New Roman" w:eastAsia="Times New Roman" w:hAnsi="Times New Roman" w:cs="Times New Roman"/>
                <w:sz w:val="23"/>
                <w:szCs w:val="23"/>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Аналоговый подход</w:t>
            </w:r>
          </w:p>
        </w:tc>
        <w:tc>
          <w:tcPr>
            <w:tcW w:w="0" w:type="auto"/>
            <w:vMerge/>
            <w:tcBorders>
              <w:top w:val="single" w:sz="6" w:space="0" w:color="CDCDCD"/>
              <w:left w:val="single" w:sz="6" w:space="0" w:color="CDCDCD"/>
              <w:bottom w:val="single" w:sz="6" w:space="0" w:color="CDCDCD"/>
              <w:right w:val="single" w:sz="6" w:space="0" w:color="CDCDCD"/>
            </w:tcBorders>
            <w:vAlign w:val="center"/>
            <w:hideMark/>
          </w:tcPr>
          <w:p w:rsidR="001F477F" w:rsidRPr="001F477F" w:rsidRDefault="001F477F" w:rsidP="001F477F">
            <w:pPr>
              <w:spacing w:after="0" w:line="240" w:lineRule="auto"/>
              <w:rPr>
                <w:rFonts w:ascii="Times New Roman" w:eastAsia="Times New Roman" w:hAnsi="Times New Roman" w:cs="Times New Roman"/>
                <w:sz w:val="23"/>
                <w:szCs w:val="23"/>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1) базируется на рыночных данных;</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2) отражает существующую практику продаж и покупок;</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3) учитывает влияние отраслевых факторов на цену акций предприятия;</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4) показывает реально возможную стоимость актива.</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1) недостаточно четко характеризует особенности организационной, технической, финансовой подготовки предприятия;</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2) в расчет принимается только ретроспективная информация;</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3) требует внесения множества поправок в анализируемую информацию.</w:t>
            </w:r>
          </w:p>
        </w:tc>
      </w:tr>
      <w:tr w:rsidR="001F477F" w:rsidRPr="001F477F" w:rsidTr="001F477F">
        <w:tc>
          <w:tcPr>
            <w:tcW w:w="0" w:type="auto"/>
            <w:vMerge/>
            <w:tcBorders>
              <w:top w:val="single" w:sz="6" w:space="0" w:color="CDCDCD"/>
              <w:left w:val="single" w:sz="6" w:space="0" w:color="CDCDCD"/>
              <w:bottom w:val="single" w:sz="6" w:space="0" w:color="CDCDCD"/>
              <w:right w:val="single" w:sz="6" w:space="0" w:color="CDCDCD"/>
            </w:tcBorders>
            <w:vAlign w:val="center"/>
            <w:hideMark/>
          </w:tcPr>
          <w:p w:rsidR="001F477F" w:rsidRPr="001F477F" w:rsidRDefault="001F477F" w:rsidP="001F477F">
            <w:pPr>
              <w:spacing w:after="0" w:line="240" w:lineRule="auto"/>
              <w:rPr>
                <w:rFonts w:ascii="Times New Roman" w:eastAsia="Times New Roman" w:hAnsi="Times New Roman" w:cs="Times New Roman"/>
                <w:sz w:val="23"/>
                <w:szCs w:val="23"/>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Доходный подход</w:t>
            </w:r>
          </w:p>
        </w:tc>
        <w:tc>
          <w:tcPr>
            <w:tcW w:w="0" w:type="auto"/>
            <w:vMerge/>
            <w:tcBorders>
              <w:top w:val="single" w:sz="6" w:space="0" w:color="CDCDCD"/>
              <w:left w:val="single" w:sz="6" w:space="0" w:color="CDCDCD"/>
              <w:bottom w:val="single" w:sz="6" w:space="0" w:color="CDCDCD"/>
              <w:right w:val="single" w:sz="6" w:space="0" w:color="CDCDCD"/>
            </w:tcBorders>
            <w:vAlign w:val="center"/>
            <w:hideMark/>
          </w:tcPr>
          <w:p w:rsidR="001F477F" w:rsidRPr="001F477F" w:rsidRDefault="001F477F" w:rsidP="001F477F">
            <w:pPr>
              <w:spacing w:after="0" w:line="240" w:lineRule="auto"/>
              <w:rPr>
                <w:rFonts w:ascii="Times New Roman" w:eastAsia="Times New Roman" w:hAnsi="Times New Roman" w:cs="Times New Roman"/>
                <w:sz w:val="23"/>
                <w:szCs w:val="23"/>
                <w:lang w:eastAsia="ru-RU"/>
              </w:rPr>
            </w:pP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1) учитывает уровень риска;</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2) учитывает интересы инвестора;</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3) позволяет моделировать различные сценарии в долгосрочной перспективе с высокой точностью.</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1) сложность прогнозирования будущих результатов и затрат;</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2) трудоемкость расчетов;</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3) не учитывает конъюнктуру рынка.</w:t>
            </w:r>
          </w:p>
        </w:tc>
      </w:tr>
      <w:tr w:rsidR="001F477F" w:rsidRPr="001F477F" w:rsidTr="001F477F">
        <w:tc>
          <w:tcPr>
            <w:tcW w:w="0" w:type="auto"/>
            <w:gridSpan w:val="2"/>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Применение мультипликаторов</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Улучшение показателей по сравнению со среднеотраслевыми значениями</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1) возможность оценки компании быстрее и проще, чем в случае метода дисконтированных денежных потоков;</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lastRenderedPageBreak/>
              <w:t>2) система предлагаемых оценок и мультипликаторов понятна инвесторам;</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3) использование сравнительных оценок с усредненными данными по отрасли более точно отражает относительную, а не внутреннюю ценность фирмы;</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4) используется для оценки закрытых или некотируемых компаний, т.е. тех, чьи акции не имеют рыночных котировок.</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lastRenderedPageBreak/>
              <w:t>1) сравнительные оценки относительно легко компилируются;</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 xml:space="preserve">2) в ходе учета преимущественно текущего </w:t>
            </w:r>
            <w:r w:rsidRPr="001F477F">
              <w:rPr>
                <w:rFonts w:ascii="Times New Roman" w:eastAsia="Times New Roman" w:hAnsi="Times New Roman" w:cs="Times New Roman"/>
                <w:sz w:val="23"/>
                <w:szCs w:val="23"/>
                <w:lang w:eastAsia="ru-RU"/>
              </w:rPr>
              <w:lastRenderedPageBreak/>
              <w:t>рынка возникают неизбежные погрешности проводимых количественных сопоставлений;</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3) точность расчетов ограничивается недостаточной прозрачностью используемых данных</w:t>
            </w:r>
          </w:p>
        </w:tc>
      </w:tr>
      <w:tr w:rsidR="001F477F" w:rsidRPr="001F477F" w:rsidTr="001F477F">
        <w:tc>
          <w:tcPr>
            <w:tcW w:w="0" w:type="auto"/>
            <w:gridSpan w:val="2"/>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lastRenderedPageBreak/>
              <w:t>Сбалансированная система показателей</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Доведение каждого показателя до максимального значения, сверх которого рост показателя является нецелесообразным</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t>1) основывается на разработке собственных показателей, отражающих четыре стороны деятельности фирмы;</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2) реализация стратегии реструктуризации предприятия в конкретных тактических действиях, сопровождающихся контролем его показателей;</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3) простота восприятия исполнителями;</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4) возможность графической интерпретации;</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lastRenderedPageBreak/>
              <w:br/>
              <w:t>5) доведение стратегии реструктуризации до конкретных целей каждого сотрудника;</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6) универсальность применения;</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7) инициация позитивных процессов в компании в процессе внедрения ССП;</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8) привязка к системе мотивации персонала в зависимости от достигнутых результатов.</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hideMark/>
          </w:tcPr>
          <w:p w:rsidR="001F477F" w:rsidRPr="001F477F" w:rsidRDefault="001F477F" w:rsidP="001F477F">
            <w:pPr>
              <w:spacing w:after="0" w:line="216" w:lineRule="atLeast"/>
              <w:rPr>
                <w:rFonts w:ascii="Times New Roman" w:eastAsia="Times New Roman" w:hAnsi="Times New Roman" w:cs="Times New Roman"/>
                <w:sz w:val="23"/>
                <w:szCs w:val="23"/>
                <w:lang w:eastAsia="ru-RU"/>
              </w:rPr>
            </w:pPr>
            <w:r w:rsidRPr="001F477F">
              <w:rPr>
                <w:rFonts w:ascii="Times New Roman" w:eastAsia="Times New Roman" w:hAnsi="Times New Roman" w:cs="Times New Roman"/>
                <w:sz w:val="23"/>
                <w:szCs w:val="23"/>
                <w:lang w:eastAsia="ru-RU"/>
              </w:rPr>
              <w:lastRenderedPageBreak/>
              <w:t>1) научно-методический подход не до конца разработан;</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2) необходимо рассчитать реальное значение показателя до реструктуризации;</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3) трудность и субъективность выявления адекватных ключевых показателей;</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4) размытость внедрения ССП;</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5) кажущаяся простота в применении;</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lastRenderedPageBreak/>
              <w:br/>
              <w:t>6) отсутствие быстрых результатов;</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7) инициатива разработки ССП может принадлежать только топ-менеджерам;</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8) трудность оценки важности ключевых показателей;</w:t>
            </w:r>
            <w:r w:rsidRPr="001F477F">
              <w:rPr>
                <w:rFonts w:ascii="Times New Roman" w:eastAsia="Times New Roman" w:hAnsi="Times New Roman" w:cs="Times New Roman"/>
                <w:sz w:val="23"/>
                <w:szCs w:val="23"/>
                <w:lang w:eastAsia="ru-RU"/>
              </w:rPr>
              <w:br/>
            </w:r>
            <w:r w:rsidRPr="001F477F">
              <w:rPr>
                <w:rFonts w:ascii="Times New Roman" w:eastAsia="Times New Roman" w:hAnsi="Times New Roman" w:cs="Times New Roman"/>
                <w:sz w:val="23"/>
                <w:szCs w:val="23"/>
                <w:lang w:eastAsia="ru-RU"/>
              </w:rPr>
              <w:br/>
              <w:t>9) концепцией не предусмотрены механизмы разрешения конфликтов между сотрудниками предприятия.</w:t>
            </w:r>
          </w:p>
        </w:tc>
      </w:tr>
    </w:tbl>
    <w:p w:rsidR="001F477F" w:rsidRPr="001F477F" w:rsidRDefault="001F477F" w:rsidP="001F477F">
      <w:pPr>
        <w:shd w:val="clear" w:color="auto" w:fill="FFFFFF"/>
        <w:spacing w:after="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b/>
          <w:bCs/>
          <w:color w:val="333333"/>
          <w:sz w:val="26"/>
          <w:szCs w:val="26"/>
          <w:lang w:eastAsia="ru-RU"/>
        </w:rPr>
        <w:lastRenderedPageBreak/>
        <w:t>Исходные данные</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В 2005 году ОАО АФК «Система» купила первые крупные пакеты акций ОАО АНК «Башнефть», уфимских нефтеперерабатывающих и нефтехимических заводов и ОАО «Башкирнефтепродукт». В это время внутри компании происходили следующие изменения: в результате решения совета директоров ОАО АНК «Башнефть» на базе девяти НГДУ было создано три филиала компании – «Башнефть-Янаул», «Башнефть-Уфа» и «Башнефть-Ишимбай».</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Сразу стоит отметить, что такая структура компании просуществовала недолго, и в марте 2009 года, когда ОАО АФК «Система» стала владельцем контрольных пакетов акций вышеназванных предприятий, в компании начались значимые преобразования, последствия которых сохранились по сегодняшний день.</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В конце декабря 2009 года в рамках мероприятий по построению вертикально-интегрированной нефтяной компании и оптимизации процессов управления добывающим блоком ОАО АНК «Башнефть» было создано общество с ограниченной ответственностью «Башнефть-Добыча» как его 100%-е дочернее предприятие в качестве оператора по разведке и разработке порядка двухсот месторождений ОАО АНК «Башнефть», расположенных на территории Республики Башкортостан, Ханты-</w:t>
      </w:r>
      <w:r w:rsidRPr="001F477F">
        <w:rPr>
          <w:rFonts w:ascii="Arial" w:eastAsia="Times New Roman" w:hAnsi="Arial" w:cs="Arial"/>
          <w:color w:val="333333"/>
          <w:sz w:val="26"/>
          <w:szCs w:val="26"/>
          <w:lang w:eastAsia="ru-RU"/>
        </w:rPr>
        <w:lastRenderedPageBreak/>
        <w:t>Мансийского автономного округа, Оренбургской области, Республики Татарстан.</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В структуру ООО «Башнефть-Добыча» вошло 6 нефтегазодобывающих управлений (НГДУ): НГДУ «Арланнефть», НГДУ «Ишимбайнефть», НГДУ «Краснохолмскнефть», НГДУ «Туймазанефть», НГДУ «Уфанефть», НГДУ «Чекмагушнефть», – и горнодобывающее управление (ГДУ) «Башминералресурс».</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11 августа 2011 года решением единственного учредителя ОАО АФК «Система» от 02.08.2010 для осуществления разработки месторождений им. Р. Требса и А. Титова создано структурное подразделение ООО «Башнефть-Полюс». 03.11.2010 на основании договора купли-продажи между ОАО АНК «Башнефть» и ОАО АФК «Система» ООО «Башнефть-Полюс» перешло в собственность ОАО АНК «Башнефть».</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27.12.2011 на основании договора купли-продажи между ОАО АНК «Башнефть» и ОАО «ЛУКОЙЛ» в состав участников ООО «Башнефть-Полюс» вошло ОАО «ЛУКОЙЛ» с долей равной 25,1% в уставном капитале ООО «Башнефть-Полюс».</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География дочерних и зависимых организаций компании простирается от Республики Башкортостан до ближнего и дальнего зарубежья, насчитывая более 30 структурных единиц.</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Сегмент разведки и добычи представлен девятью дочерними компаниями, ведущими деятельность в области ГРР, бурения, добычи углеводородов, научных исследований и разработок.</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Высокотехнологичный научно-исследовательский и проектный комплекс, ООО «БашНИПИнефть» осуществляет научные исследования в области геологии, разведки, разработки месторождений, бурения, добычи, сбора нефти и газа, охраны окружающей среды.</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Нефтеперерабатывающее и нефтехимическое производство представлено четырьмя предприятиями совокупной мощностью 24 млн т., в год: ОАО «Уфимский нефтеперерабатывающий завод» (ОАО «УНПЗ»), ОАО «Новойл», ОАО «Уфанефтехим», ОАО «Уфаоргсинтез»</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В сентябре 2011 года Совет директоров ОАО АНК «Башнефть» рассмотрел вопрос о создании совместного предприятия для развития нефтехимического направления деятельности. Позднее было создано ОАО «Объединенная нефтехимическая компания», акционерами которого выступили ОАО АНК «Башнефть» (75%) и компания Petrochemical Holding GmbH (25%).</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lastRenderedPageBreak/>
        <w:t>По состоянию на 31 декабря 2011 г. розничная сбытовая сеть ОАО АНК «Башнефть» была представлена четырьмя компаниями-операторами, которые управляли сетью из 485 собственных и 225 партнерских АЗС в 24 регионах, и управляющей компанией ЗАО «Башнефть-Регион», которая специализируется на мелком опте и управляет сетью региональных торговых представительств.</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Железнодорожный подвижной состав дочернего предприятия ООО «Башнефть-Транс» насчитывает 4,5 тысяч цистерн-вагонов. Кроме того, компания располагает масштабным автотранспортным парком и сетью оборудованных лабораторий для постоянного контроля качества моторных топлив.</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В 2011 году портфель лицензий Башнефти включал 221 лицензию на все основные виды отраслевой деятельности. Основная часть участков нефтедобычи и ГРР, или свыше 95% от общего портфеля, приходились на Республику Башкортостан, включая 193 лицензии на нефте- и газодобычу, и 16 лицензий на геологическое изучение, разведку и добычу углеводородного сырья. Промышленная деятельность по нефтепереработке, включая четыре Уфимских НПЗ, также была сконцентрирована в Башкортостане.</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В этом же году получены лицензии на право геологического изучения, поиска, разведки и добычи углеводородного сырья на трех участках недр в Ненецком АО: Восточно-Падимейском, Саватинском и Няриояхском.</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На территории Республики Башкортостан в 2011 году насчитывалось 299 собственных автозаправочных станций. С точки зрения охвата сетью автозаправочных станций, ОАО АНК «Башнефть» наиболее широко представлена в 10 регионах, на долю которых приходится 87% от общего числа точек розничных продаж.</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С января 2012 года ООО «Башнефть-Добыча» переданы функции единоличного исполнительного органа трех дочерних нефтедобывающих предприятий ОАО АНК «Башнефть»–ООО «Зирган», ООО «Башминерал» и ООО «Геонефть» (последнее ведет добычу на месторождениях в Оренбургской области).</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21 февраля 2012 года по итогам проведенного по Ненецкому автономному округу аукциона на право геологического изучения, поиска, разведки и добычи углеводородного сырья ОАО АНК «Башнефть» была признана победителем по Приикскому, Янгарейскому и Сабриягинскому участкам недр, которые расположены в северо-восточной части Ненецкого автономного округа. Примерно в 200 км к западу находятся месторождения им. Р. Требса и А. Титова, а на расстоянии от 20 км до 80 км юго-западнее приобретенных участков расположены Саватинский и Восточно-</w:t>
      </w:r>
      <w:r w:rsidRPr="001F477F">
        <w:rPr>
          <w:rFonts w:ascii="Arial" w:eastAsia="Times New Roman" w:hAnsi="Arial" w:cs="Arial"/>
          <w:color w:val="333333"/>
          <w:sz w:val="26"/>
          <w:szCs w:val="26"/>
          <w:lang w:eastAsia="ru-RU"/>
        </w:rPr>
        <w:lastRenderedPageBreak/>
        <w:t>Падимейский участки недр, приобретенные компанией на аукционе в октябре 2011 года.</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В феврале 2012 года компания разместила корпоративные облигации серии 04 на сумму 10 млрд рублей. Следующим важным этапом развития компании и логическим завершением процесса вертикальной интеграции стал переход на единую акцию пяти основных дочерних предприятий.</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В марте 2012 года ОАО АНК «Башнефть» объявило о начале программы реорганизации через присоединение дочерних акционерных обществ: ОАО «Уфимский нефтеперерабатывающий завод», ОАО «Новойл» (ОАО «Ново-Уфимский нефтеперерабатывающий завод»), ОАО «Уфанефтехим», ОАО «Башкирнефтепродукт» и ОАО «Оренбургнефтепродукт».</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В апреле 2012 года в компании прошли внеочередные собрания акционеров, на которых акционерами были утверждены договор о присоединении, передаточные акты присоединяемых дочерних обществ, одобрен проект реорганизации, подразумевающий следующий порядок:</w:t>
      </w:r>
    </w:p>
    <w:p w:rsidR="001F477F" w:rsidRPr="001F477F" w:rsidRDefault="001F477F" w:rsidP="001F477F">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выкуп компанией и дочерними обществами за наличные акций по требованиям акционеров, не принявших участие в голосовании или голосовавших против реорганизации;</w:t>
      </w:r>
    </w:p>
    <w:p w:rsidR="001F477F" w:rsidRPr="001F477F" w:rsidRDefault="001F477F" w:rsidP="001F477F">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уведомление кредиторов;</w:t>
      </w:r>
    </w:p>
    <w:p w:rsidR="001F477F" w:rsidRPr="001F477F" w:rsidRDefault="001F477F" w:rsidP="001F477F">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составление каждым присоединяемым обществом заключительной бухгалтерской отчетности;</w:t>
      </w:r>
    </w:p>
    <w:p w:rsidR="001F477F" w:rsidRPr="001F477F" w:rsidRDefault="001F477F" w:rsidP="001F477F">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внесение органом, осуществляющим государственную регистрацию юридических лиц, в Единый государственный реестр юридических лиц записи о прекращении деятельности каждого присоединяемого общества;</w:t>
      </w:r>
    </w:p>
    <w:p w:rsidR="001F477F" w:rsidRPr="001F477F" w:rsidRDefault="001F477F" w:rsidP="001F477F">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конвертацию обыкновенных и привилегированных акций присоединяемых дочерних обществ в обыкновенные и привилегированные акции ОАО АНК «Башнефть» в соответствии с утвержденными коэффициентами конвертации.</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2 апреля 2012 года Совет директоров ОАО АНК «Башнефть» на очередном заседании 30 марта одобрил статус исполнения функциональной стратегии компании в области управления нефтесервисными организациями и утвердил мероприятия по ее реализации.</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Таким образом, ОАО АНК «Башнефть» завершила формирование нефтесервисного холдинга на базе своего 100-процентного дочернего предприятия – ООО «Башнефть-Сервисные Активы».</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lastRenderedPageBreak/>
        <w:t>В состав нефтесервисного холдинга, управляющей компанией которого является ООО «Башнефть-Сервисные Активы», вошли 11 имеющих рыночный потенциал развития нефтесервисных организаций:</w:t>
      </w:r>
    </w:p>
    <w:p w:rsidR="001F477F" w:rsidRPr="001F477F" w:rsidRDefault="001F477F" w:rsidP="001F477F">
      <w:pPr>
        <w:numPr>
          <w:ilvl w:val="0"/>
          <w:numId w:val="3"/>
        </w:numPr>
        <w:shd w:val="clear" w:color="auto" w:fill="FFFFFF"/>
        <w:spacing w:after="120" w:line="336" w:lineRule="atLeast"/>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ООО «Башнефть-Бурение»;</w:t>
      </w:r>
    </w:p>
    <w:p w:rsidR="001F477F" w:rsidRPr="001F477F" w:rsidRDefault="001F477F" w:rsidP="001F477F">
      <w:pPr>
        <w:numPr>
          <w:ilvl w:val="0"/>
          <w:numId w:val="3"/>
        </w:numPr>
        <w:shd w:val="clear" w:color="auto" w:fill="FFFFFF"/>
        <w:spacing w:after="120" w:line="336" w:lineRule="atLeast"/>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ООО «Уфимское управление подземного капитального ремонта скважин»;</w:t>
      </w:r>
    </w:p>
    <w:p w:rsidR="001F477F" w:rsidRPr="001F477F" w:rsidRDefault="001F477F" w:rsidP="001F477F">
      <w:pPr>
        <w:numPr>
          <w:ilvl w:val="0"/>
          <w:numId w:val="3"/>
        </w:numPr>
        <w:shd w:val="clear" w:color="auto" w:fill="FFFFFF"/>
        <w:spacing w:after="120" w:line="336" w:lineRule="atLeast"/>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ООО «Башкирское управление ремонта скважин»;</w:t>
      </w:r>
    </w:p>
    <w:p w:rsidR="001F477F" w:rsidRPr="001F477F" w:rsidRDefault="001F477F" w:rsidP="001F477F">
      <w:pPr>
        <w:numPr>
          <w:ilvl w:val="0"/>
          <w:numId w:val="3"/>
        </w:numPr>
        <w:shd w:val="clear" w:color="auto" w:fill="FFFFFF"/>
        <w:spacing w:after="120" w:line="336" w:lineRule="atLeast"/>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ООО «Октябрьский завод нефтепромыслового оборудования»;</w:t>
      </w:r>
    </w:p>
    <w:p w:rsidR="001F477F" w:rsidRPr="001F477F" w:rsidRDefault="001F477F" w:rsidP="001F477F">
      <w:pPr>
        <w:numPr>
          <w:ilvl w:val="0"/>
          <w:numId w:val="3"/>
        </w:numPr>
        <w:shd w:val="clear" w:color="auto" w:fill="FFFFFF"/>
        <w:spacing w:after="120" w:line="336" w:lineRule="atLeast"/>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ООО «Нефтекамский завод нефтепромыслового оборудования»;</w:t>
      </w:r>
    </w:p>
    <w:p w:rsidR="001F477F" w:rsidRPr="001F477F" w:rsidRDefault="001F477F" w:rsidP="001F477F">
      <w:pPr>
        <w:numPr>
          <w:ilvl w:val="0"/>
          <w:numId w:val="3"/>
        </w:numPr>
        <w:shd w:val="clear" w:color="auto" w:fill="FFFFFF"/>
        <w:spacing w:after="120" w:line="336" w:lineRule="atLeast"/>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ООО «Автотранспортное управление «Башнефть»;</w:t>
      </w:r>
    </w:p>
    <w:p w:rsidR="001F477F" w:rsidRPr="001F477F" w:rsidRDefault="001F477F" w:rsidP="001F477F">
      <w:pPr>
        <w:numPr>
          <w:ilvl w:val="0"/>
          <w:numId w:val="3"/>
        </w:numPr>
        <w:shd w:val="clear" w:color="auto" w:fill="FFFFFF"/>
        <w:spacing w:after="120" w:line="336" w:lineRule="atLeast"/>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ООО «Октябрьское управление технологического транспорта»;</w:t>
      </w:r>
    </w:p>
    <w:p w:rsidR="001F477F" w:rsidRPr="001F477F" w:rsidRDefault="001F477F" w:rsidP="001F477F">
      <w:pPr>
        <w:numPr>
          <w:ilvl w:val="0"/>
          <w:numId w:val="3"/>
        </w:numPr>
        <w:shd w:val="clear" w:color="auto" w:fill="FFFFFF"/>
        <w:spacing w:after="120" w:line="336" w:lineRule="atLeast"/>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ООО «Арланское управление технологического транспорта»;</w:t>
      </w:r>
    </w:p>
    <w:p w:rsidR="001F477F" w:rsidRPr="001F477F" w:rsidRDefault="001F477F" w:rsidP="001F477F">
      <w:pPr>
        <w:numPr>
          <w:ilvl w:val="0"/>
          <w:numId w:val="3"/>
        </w:numPr>
        <w:shd w:val="clear" w:color="auto" w:fill="FFFFFF"/>
        <w:spacing w:after="120" w:line="336" w:lineRule="atLeast"/>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ООО «Арланское управление содержания промысловых дорог»;</w:t>
      </w:r>
    </w:p>
    <w:p w:rsidR="001F477F" w:rsidRPr="001F477F" w:rsidRDefault="001F477F" w:rsidP="001F477F">
      <w:pPr>
        <w:numPr>
          <w:ilvl w:val="0"/>
          <w:numId w:val="3"/>
        </w:numPr>
        <w:shd w:val="clear" w:color="auto" w:fill="FFFFFF"/>
        <w:spacing w:after="120" w:line="336" w:lineRule="atLeast"/>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ООО «Трансхим»;</w:t>
      </w:r>
    </w:p>
    <w:p w:rsidR="001F477F" w:rsidRPr="001F477F" w:rsidRDefault="001F477F" w:rsidP="001F477F">
      <w:pPr>
        <w:numPr>
          <w:ilvl w:val="0"/>
          <w:numId w:val="3"/>
        </w:numPr>
        <w:shd w:val="clear" w:color="auto" w:fill="FFFFFF"/>
        <w:spacing w:after="120" w:line="336" w:lineRule="atLeast"/>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ООО «Янаульское управление «Нефтестроймонтаж».</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Кроме того, в апреле 2012 года ОАО АНК «Башнефть» завершила сделку по приобретению 100% доли ООО «Уралойл», владеющего сетью из 12 АЗС в Курганской области, работающих под брендом TRANSOIL.</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В мае 2012 года Федеральное агентство по недропользованию отменило приказ о переоформлении лицензии на месторождения им. Р. Требса и А. Титова, расположенные в Ненецком автономном округе, с ОАО АНК «Башнефть» на ООО «Башнефть-Полюс», в результате чего данная лицензия была возвращена ОАО АНК «Башнефть».</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В этом же месяце 2012 года на внеочередном общем собрании акционеров ОАО «Уфаоргсинтез» Совет директоров поручил представителям ОАО АНК «Башнефть» года проголосовать «за» по вопросу «О передаче полномочий единоличного исполнительного органа ОАО «Уфаоргсинтез» управляющей организации – ОАО «Объединенная нефтехимическая компания».</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В июне 2012 года ОАО АНК «Башнефть», а также дочерние общества компании, участвующие в переходе на единую акцию, исполнили свои обязательства по выкупу ценных бумаг у акционеров, предъявивших требования о выкупе в соответствии со ст. 75 Федерального закона «Об акционерных обществах». Общая сумма средств, направленных ОАО АНК «Башнефть» и присоединяемыми дочерними обществами на выкуп акций, составила 19,034 млрд рублей.</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lastRenderedPageBreak/>
        <w:t>В августе 2012 года Министерство нефти Республики Ирак и Консорциум в составе ОАО АНК «Башнефть» (70%) и Premier Oil (30%) парафировали в Багдаде контракт на геологоразведку, разработку и добычу на Блоке 12, а в ноябре 2012 контракт был подписан. Блок 12 является частью неразведанного региона с самым большим нефтяным потенциалом в Ираке – Западной пустыни. Площадь блока – около 8 000 км²;</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Кроме того, группа приобрела 50% долю ООО «Финансовый Альянс», профессионального оператора железнодорожного подвижного состава, путем вклада в уставный капитал компании принадлежащих группе основных средств. В декабре 2012 года ОАО АНК «Башнефть» реализовала 50% долю в уставном капитале ООО «Финансовый Альянс» АФК «Система».</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24 сентября 2012 года присоединяемыми дочерними обществами в регистрирующий орган направлены заявления о прекращении деятельности в результате реорганизации.</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В декабре 2012 года ОАО АНК «Башнефть» завершила сделки по приобретению ООО «Гарсар» и ООО «Мобелнефть», владеющих лицензиями на нефтяные месторождения и перспективные участки недр в Ермекеевском районе на западе Республики Башкортостан;</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Процесс реорганизации и перехода на единую акцию завершен 1 октября 2012 года, в результате чего количество обыкновенных и привилегированных акций ОАО АНК «Башнефть» увеличилось до 188 710 587 именных обыкновенных и 38 673 878 именных привилегированных акций.</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В сентябре 2013 года компания завершила сделку по продаже ОАО АФК «Система» 98% пакета акций ОАО «Объединенная нефтехимическая компания», а также ООО «Башнефть-Сервисные Активы», объединяющее компании, которые предоставляют услуги в области бурения, текущего и капитального ремонта скважин, производства нефтепромыслового оборудования и механосервиса, а также транспортные и строительные услуги.</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Также в сентябре 2013 года ОАО АНК «Башнефть» завершила сделку по продаже группе частных инвесторов 38,46% уставного капитала ОАО «Белкамнефть».</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 xml:space="preserve">18 декабря 2013 года ОАО АНК «Башнефть» объявило о начале программы реорганизации через присоединение ЗАО «Башнефть-Инвест», 100% дочерней компании, создаваемой в результате выделения из ЗАО «Система-Инвест», акционерами которого являются ОАО «АФК </w:t>
      </w:r>
      <w:r w:rsidRPr="001F477F">
        <w:rPr>
          <w:rFonts w:ascii="Arial" w:eastAsia="Times New Roman" w:hAnsi="Arial" w:cs="Arial"/>
          <w:color w:val="333333"/>
          <w:sz w:val="26"/>
          <w:szCs w:val="26"/>
          <w:lang w:eastAsia="ru-RU"/>
        </w:rPr>
        <w:lastRenderedPageBreak/>
        <w:t>«Система» и ОАО АНК «Башнефть» с долями в уставном капитале 50,6% и 49,4% соответственно.</w:t>
      </w:r>
    </w:p>
    <w:p w:rsidR="001F477F" w:rsidRPr="001F477F" w:rsidRDefault="001F477F" w:rsidP="001F477F">
      <w:pPr>
        <w:shd w:val="clear" w:color="auto" w:fill="FFFFFF"/>
        <w:spacing w:after="240" w:line="336" w:lineRule="atLeast"/>
        <w:ind w:firstLine="480"/>
        <w:jc w:val="both"/>
        <w:rPr>
          <w:rFonts w:ascii="Arial" w:eastAsia="Times New Roman" w:hAnsi="Arial" w:cs="Arial"/>
          <w:color w:val="333333"/>
          <w:sz w:val="26"/>
          <w:szCs w:val="26"/>
          <w:lang w:eastAsia="ru-RU"/>
        </w:rPr>
      </w:pPr>
      <w:r w:rsidRPr="001F477F">
        <w:rPr>
          <w:rFonts w:ascii="Arial" w:eastAsia="Times New Roman" w:hAnsi="Arial" w:cs="Arial"/>
          <w:color w:val="333333"/>
          <w:sz w:val="26"/>
          <w:szCs w:val="26"/>
          <w:lang w:eastAsia="ru-RU"/>
        </w:rPr>
        <w:t>В 2014 году процессы реструктуризации продолжились и продолжаются до сих пор.</w:t>
      </w:r>
    </w:p>
    <w:p w:rsidR="00FA61D9" w:rsidRDefault="00FA61D9">
      <w:bookmarkStart w:id="0" w:name="_GoBack"/>
      <w:bookmarkEnd w:id="0"/>
    </w:p>
    <w:sectPr w:rsidR="00FA61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247D29"/>
    <w:multiLevelType w:val="multilevel"/>
    <w:tmpl w:val="ACC47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5CF3957"/>
    <w:multiLevelType w:val="multilevel"/>
    <w:tmpl w:val="FBC6A1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05D626F"/>
    <w:multiLevelType w:val="multilevel"/>
    <w:tmpl w:val="F4F62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42C"/>
    <w:rsid w:val="001F477F"/>
    <w:rsid w:val="0096442C"/>
    <w:rsid w:val="00FA61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8CED24-4E68-4C14-96D1-A2E05F680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F47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F47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40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2703</Words>
  <Characters>15410</Characters>
  <Application>Microsoft Office Word</Application>
  <DocSecurity>0</DocSecurity>
  <Lines>128</Lines>
  <Paragraphs>36</Paragraphs>
  <ScaleCrop>false</ScaleCrop>
  <Company/>
  <LinksUpToDate>false</LinksUpToDate>
  <CharactersWithSpaces>18077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2019-10-17T12:18:00Z</dcterms:created>
  <dcterms:modified xsi:type="dcterms:W3CDTF">2019-10-17T12:18:00Z</dcterms:modified>
</cp:coreProperties>
</file>